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74FB" w:rsidRDefault="001455A2" w:rsidP="00980022">
      <w:pPr>
        <w:pStyle w:val="normal"/>
        <w:spacing w:line="240" w:lineRule="auto"/>
        <w:ind w:right="1418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</w:t>
      </w:r>
    </w:p>
    <w:p w:rsidR="006F74FB" w:rsidRDefault="006F74FB">
      <w:pPr>
        <w:pStyle w:val="normal"/>
        <w:spacing w:line="240" w:lineRule="auto"/>
        <w:ind w:left="1418" w:right="1418" w:firstLine="720"/>
        <w:jc w:val="center"/>
      </w:pPr>
    </w:p>
    <w:p w:rsidR="006F74FB" w:rsidRDefault="001455A2">
      <w:pPr>
        <w:pStyle w:val="normal"/>
        <w:spacing w:line="240" w:lineRule="auto"/>
        <w:ind w:left="1418" w:right="1418" w:firstLine="72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p w:rsidR="006F74FB" w:rsidRDefault="006F74FB">
      <w:pPr>
        <w:pStyle w:val="normal"/>
        <w:spacing w:line="240" w:lineRule="auto"/>
        <w:ind w:left="1418" w:right="1418" w:firstLine="720"/>
        <w:jc w:val="center"/>
      </w:pPr>
    </w:p>
    <w:p w:rsidR="006F74FB" w:rsidRDefault="001455A2">
      <w:pPr>
        <w:pStyle w:val="normal"/>
        <w:spacing w:line="240" w:lineRule="auto"/>
        <w:ind w:left="1418" w:right="1418" w:firstLine="720"/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t>Пояснительная записка</w:t>
      </w:r>
    </w:p>
    <w:p w:rsidR="006F74FB" w:rsidRDefault="006F74FB">
      <w:pPr>
        <w:pStyle w:val="normal"/>
        <w:spacing w:line="240" w:lineRule="auto"/>
        <w:ind w:left="1418" w:right="1418" w:firstLine="720"/>
        <w:jc w:val="center"/>
      </w:pPr>
    </w:p>
    <w:p w:rsidR="006F74FB" w:rsidRDefault="001455A2">
      <w:pPr>
        <w:pStyle w:val="normal"/>
        <w:keepNext/>
        <w:spacing w:line="240" w:lineRule="auto"/>
        <w:ind w:left="1418" w:right="1418" w:firstLine="7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Основания и цели разработки требований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Настоящие требования разработаны на основе федерального компонента государственного образовательного стандарта общего образования по химии (для основной средней школы, базового и профильного уровней полной средней школы).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Материал представляет собой требов</w:t>
      </w:r>
      <w:r>
        <w:rPr>
          <w:rFonts w:ascii="Times New Roman" w:eastAsia="Times New Roman" w:hAnsi="Times New Roman" w:cs="Times New Roman"/>
          <w:sz w:val="20"/>
          <w:szCs w:val="20"/>
        </w:rPr>
        <w:t>ания к материально-техническому обеспечению учебно-воспитательного процесса, предъявляемые в условиях ввода в действие государственного стандарта по химии.</w:t>
      </w:r>
    </w:p>
    <w:p w:rsidR="006F74FB" w:rsidRDefault="001455A2">
      <w:pPr>
        <w:pStyle w:val="normal"/>
        <w:spacing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>Принципы отбора объектов и средств материально-технического обеспечения.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В требования включены переч</w:t>
      </w:r>
      <w:r>
        <w:rPr>
          <w:rFonts w:ascii="Times New Roman" w:eastAsia="Times New Roman" w:hAnsi="Times New Roman" w:cs="Times New Roman"/>
          <w:sz w:val="20"/>
          <w:szCs w:val="20"/>
        </w:rPr>
        <w:t>ни основной учебной литературы, которая составляет библиотечный фонд кабинета химии. В библиотечный фонд кабинета химии входят учебники и учебно-методические пособия (учебно-методические комплекты – УМК), рекомендованные или допущенные МО и науки РФ. Целес</w:t>
      </w:r>
      <w:r>
        <w:rPr>
          <w:rFonts w:ascii="Times New Roman" w:eastAsia="Times New Roman" w:hAnsi="Times New Roman" w:cs="Times New Roman"/>
          <w:sz w:val="20"/>
          <w:szCs w:val="20"/>
        </w:rPr>
        <w:t>ообразно включить в библиотечный фонд кабинета несколько экземпляров учебников из других учебно-методических комплектов, которые могут быть использованы учителем для подготовки к занятиям. Библиотечный фонд может быть дополнен химической энциклопедией, спр</w:t>
      </w:r>
      <w:r>
        <w:rPr>
          <w:rFonts w:ascii="Times New Roman" w:eastAsia="Times New Roman" w:hAnsi="Times New Roman" w:cs="Times New Roman"/>
          <w:sz w:val="20"/>
          <w:szCs w:val="20"/>
        </w:rPr>
        <w:t>авочниками, книгами для чтения по химии.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Эта дополнительная литература предназначена в основном для учащихся и они пользуются ей поочередно.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При составлении номенклатуры средств обучения по химии были учтены следующие принципы: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приоритет деятельностного по</w:t>
      </w:r>
      <w:r>
        <w:rPr>
          <w:rFonts w:ascii="Times New Roman" w:eastAsia="Times New Roman" w:hAnsi="Times New Roman" w:cs="Times New Roman"/>
          <w:sz w:val="20"/>
          <w:szCs w:val="20"/>
        </w:rPr>
        <w:t>дхода в учебно-воспитательном процессе;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комплексное использование средств обучения для получения целостного представления об изучаемом объекте или явлении;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перенос акцента с репродуктивных форм учебной деятельности на самостоятельные, поиско-исследовательс</w:t>
      </w:r>
      <w:r>
        <w:rPr>
          <w:rFonts w:ascii="Times New Roman" w:eastAsia="Times New Roman" w:hAnsi="Times New Roman" w:cs="Times New Roman"/>
          <w:sz w:val="20"/>
          <w:szCs w:val="20"/>
        </w:rPr>
        <w:t>кие виды работы, аналитическую деятельность;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формирование различных способов поиска и обработки информации;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овладение современной инструментальной базой в границах заданной программы и образовательных целей;</w:t>
      </w:r>
    </w:p>
    <w:p w:rsidR="006F74FB" w:rsidRDefault="001455A2">
      <w:pPr>
        <w:pStyle w:val="normal"/>
        <w:numPr>
          <w:ilvl w:val="0"/>
          <w:numId w:val="3"/>
        </w:numPr>
        <w:spacing w:line="240" w:lineRule="auto"/>
        <w:ind w:hanging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развитие коммуникативных умений учащихся. </w:t>
      </w:r>
    </w:p>
    <w:p w:rsidR="006F74FB" w:rsidRDefault="001455A2">
      <w:pPr>
        <w:pStyle w:val="normal"/>
        <w:spacing w:line="240" w:lineRule="auto"/>
        <w:ind w:left="720"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В связи с техническим прогрессом происходит обновление содержания предмета и изменение носителей информации и аппаратуры для ее проявления. Приоритет должен быть за формированием коммуникативной культуры учащихся. Традиционные и компьютерные технологии исп</w:t>
      </w:r>
      <w:r>
        <w:rPr>
          <w:rFonts w:ascii="Times New Roman" w:eastAsia="Times New Roman" w:hAnsi="Times New Roman" w:cs="Times New Roman"/>
          <w:sz w:val="20"/>
          <w:szCs w:val="20"/>
        </w:rPr>
        <w:t>ользуются комплексно.</w:t>
      </w:r>
    </w:p>
    <w:p w:rsidR="006F74FB" w:rsidRDefault="001455A2">
      <w:pPr>
        <w:pStyle w:val="normal"/>
        <w:spacing w:line="240" w:lineRule="auto"/>
        <w:ind w:left="720"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 перечнях объектов и средств материально-технического обеспечения в большинстве случаев представлены не конкретные названия, а лишь общая номенклатура объектов, так как многие производимые средства и объекты материально-технического </w:t>
      </w:r>
      <w:r>
        <w:rPr>
          <w:rFonts w:ascii="Times New Roman" w:eastAsia="Times New Roman" w:hAnsi="Times New Roman" w:cs="Times New Roman"/>
          <w:sz w:val="20"/>
          <w:szCs w:val="20"/>
        </w:rPr>
        <w:t>обеспечения являются взаимозаменяемыми и их использование призвано обеспечить не только преподавание конкретных  предметных тем, но, прежде всего, создание условий для формирования и развития умений и навыков учащихся. Исключение составляют натуральные объ</w:t>
      </w:r>
      <w:r>
        <w:rPr>
          <w:rFonts w:ascii="Times New Roman" w:eastAsia="Times New Roman" w:hAnsi="Times New Roman" w:cs="Times New Roman"/>
          <w:sz w:val="20"/>
          <w:szCs w:val="20"/>
        </w:rPr>
        <w:t>екты (наборы химических реактивов, коллекции), а также специализированные приборы и аппараты, которые имеют конкретные названия.</w:t>
      </w:r>
    </w:p>
    <w:p w:rsidR="006F74FB" w:rsidRDefault="001455A2">
      <w:pPr>
        <w:pStyle w:val="normal"/>
        <w:spacing w:line="240" w:lineRule="auto"/>
        <w:ind w:left="720"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Средства обучения для эффективного преподавания химии представлены в настоящих рекомендациях различными видами пособий (натурал</w:t>
      </w:r>
      <w:r>
        <w:rPr>
          <w:rFonts w:ascii="Times New Roman" w:eastAsia="Times New Roman" w:hAnsi="Times New Roman" w:cs="Times New Roman"/>
          <w:sz w:val="20"/>
          <w:szCs w:val="20"/>
        </w:rPr>
        <w:t>ьные объекты, модели, приборы и наборы для постановки демонстрационного и ученического эксперимента, печатные и экранно-звуковые средства обучения, средства новых информационных технологий, а также вспомогательное оборудование).</w:t>
      </w:r>
    </w:p>
    <w:p w:rsidR="006F74FB" w:rsidRDefault="001455A2">
      <w:pPr>
        <w:pStyle w:val="normal"/>
        <w:spacing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Новизна разработанных требо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ваний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В отличие от существовавших ранее перечней учебного оборудования по химии настоящие рекомендации ориентированы не только на обеспечение наглядности процесса обучения, но и, прежде всего, на создание необходимых условий для реализации требований к уро</w:t>
      </w:r>
      <w:r>
        <w:rPr>
          <w:rFonts w:ascii="Times New Roman" w:eastAsia="Times New Roman" w:hAnsi="Times New Roman" w:cs="Times New Roman"/>
          <w:sz w:val="20"/>
          <w:szCs w:val="20"/>
        </w:rPr>
        <w:t>вню подготовки выпускников.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Государственный стандарт по химии предполагает приоритет деятельного подхода к процессу обучения, развитие у учащихся широкого комплекса общих учебных и предметных умений, овладение способами деятельности, формирующими познавате</w:t>
      </w:r>
      <w:r>
        <w:rPr>
          <w:rFonts w:ascii="Times New Roman" w:eastAsia="Times New Roman" w:hAnsi="Times New Roman" w:cs="Times New Roman"/>
          <w:sz w:val="20"/>
          <w:szCs w:val="20"/>
        </w:rPr>
        <w:t>льную, информационную, коммуникативную компетенции. Материально-техническое обеспечение учебного процесса должно быть достаточным для эффективного решения этих задач. Поэтому рекомендации включают средства обучения, не только выпускаемые в настоящее время,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но и новые (перспективные), создание которых необходимо для реализации стандарта.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Комплект учебного оборудования в настоящих рекомендациях составлен по блочно-модульному принципу. Основным блоком является учебное оборудование для базового уровня обучения </w:t>
      </w:r>
      <w:r>
        <w:rPr>
          <w:rFonts w:ascii="Times New Roman" w:eastAsia="Times New Roman" w:hAnsi="Times New Roman" w:cs="Times New Roman"/>
          <w:sz w:val="20"/>
          <w:szCs w:val="20"/>
        </w:rPr>
        <w:t>химии. В старшей школе при изучении предмета на базовом уровне возможно повторение демонстрационных и лабораторных опытов и практических занятий при условии их обобщения на  более высоком уровне.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Профильное обучение потребует создание дополнительного модул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я. Он должен состоять из небольшого перечня оборудования. При создании этого модуля больше внимания должно уделяться дальнейшему формированию исследовательских навыков. Неоценимую поддержку окажут новые информационные технологии: мультимедийные программы, </w:t>
      </w:r>
      <w:r>
        <w:rPr>
          <w:rFonts w:ascii="Times New Roman" w:eastAsia="Times New Roman" w:hAnsi="Times New Roman" w:cs="Times New Roman"/>
          <w:sz w:val="20"/>
          <w:szCs w:val="20"/>
        </w:rPr>
        <w:t>электронные справочники и энциклопедии, обучающие компьютерные программы.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Мультимедийные обучающие программы и учебники могут быть ориентированы на систему дистанционного обучения или носить проблемно-тематический характер для обеспечения условий углубленн</w:t>
      </w:r>
      <w:r>
        <w:rPr>
          <w:rFonts w:ascii="Times New Roman" w:eastAsia="Times New Roman" w:hAnsi="Times New Roman" w:cs="Times New Roman"/>
          <w:sz w:val="20"/>
          <w:szCs w:val="20"/>
        </w:rPr>
        <w:t>о-профильного уровня изучения химии по определенным темам.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Электронные библиотеки должны включать комплекс информационно-справочных материалов, ориентированных на различные организационные формы обучения: индивидуальную, групповую, коллективную.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Таким обра</w:t>
      </w:r>
      <w:r>
        <w:rPr>
          <w:rFonts w:ascii="Times New Roman" w:eastAsia="Times New Roman" w:hAnsi="Times New Roman" w:cs="Times New Roman"/>
          <w:sz w:val="20"/>
          <w:szCs w:val="20"/>
        </w:rPr>
        <w:t>зом, настоящие рекомендации выполняют функцию ориентира в создании целостной предметно-развивающей среды, необходимой для реализации требований к уровню подготовки выпускников на каждой ступени обучения, установленных стандартом.</w:t>
      </w:r>
    </w:p>
    <w:p w:rsidR="006F74FB" w:rsidRDefault="001455A2">
      <w:pPr>
        <w:pStyle w:val="normal"/>
        <w:spacing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Реализация принципа вариат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ивности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Для профильного обучения необходимо создание модуля из небольшого перечня оборудования. Некоторое оборудование может быть использовано как при изучении базового, так и углубленного и профильного уровней. Это прежде всего оборудование для оснащения </w:t>
      </w:r>
      <w:r>
        <w:rPr>
          <w:rFonts w:ascii="Times New Roman" w:eastAsia="Times New Roman" w:hAnsi="Times New Roman" w:cs="Times New Roman"/>
          <w:sz w:val="20"/>
          <w:szCs w:val="20"/>
        </w:rPr>
        <w:t>химического эксперимента. Для профильного уровня комплекты для постановки химического эксперимента могут быть доукомплектованы дополнительными изделиями (набором узлов и деталей, некоторыми видами химической посуды).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Кроме того, вариативно могут быть испол</w:t>
      </w:r>
      <w:r>
        <w:rPr>
          <w:rFonts w:ascii="Times New Roman" w:eastAsia="Times New Roman" w:hAnsi="Times New Roman" w:cs="Times New Roman"/>
          <w:sz w:val="20"/>
          <w:szCs w:val="20"/>
        </w:rPr>
        <w:t>ьзованы некоторые экранные средства обучения, например, фолии. В этом случае в прилагающихся методических рекомендациях следует указать – какие пленки предназначены для базового, углубленного и профильного изучения материала.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Настоящие требования могут быт</w:t>
      </w:r>
      <w:r>
        <w:rPr>
          <w:rFonts w:ascii="Times New Roman" w:eastAsia="Times New Roman" w:hAnsi="Times New Roman" w:cs="Times New Roman"/>
          <w:sz w:val="20"/>
          <w:szCs w:val="20"/>
        </w:rPr>
        <w:t>ь уточнены и дополнены применительно к специфике конкретных образовательных учреждений, уровню их финансирования, а также, исходя из последовательных этапов формирования учебно-предметной среды (в том числе в виде традиционных и мультимедийных пособий, соз</w:t>
      </w:r>
      <w:r>
        <w:rPr>
          <w:rFonts w:ascii="Times New Roman" w:eastAsia="Times New Roman" w:hAnsi="Times New Roman" w:cs="Times New Roman"/>
          <w:sz w:val="20"/>
          <w:szCs w:val="20"/>
        </w:rPr>
        <w:t>даваемых учащимися).</w:t>
      </w:r>
    </w:p>
    <w:p w:rsidR="006F74FB" w:rsidRDefault="001455A2">
      <w:pPr>
        <w:pStyle w:val="normal"/>
        <w:spacing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Расчет количественных показателей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Количественные показатели при приобретении оборудования вычисляются исходя из наполняемости класса. Оборудование для самостоятельных работ учащихся (коллекции, наборы для постановки химического экспери</w:t>
      </w:r>
      <w:r>
        <w:rPr>
          <w:rFonts w:ascii="Times New Roman" w:eastAsia="Times New Roman" w:hAnsi="Times New Roman" w:cs="Times New Roman"/>
          <w:sz w:val="20"/>
          <w:szCs w:val="20"/>
        </w:rPr>
        <w:t>мента, модели, некоторые приборы), т.е раздаточные пособия приобретаются из расчета: одно пособие на 2-х учащихся при изучении химии в основной и старшей школе при базовом изучении предмета. При изучении химии в профильных классах раздаточный материал прио</w:t>
      </w:r>
      <w:r>
        <w:rPr>
          <w:rFonts w:ascii="Times New Roman" w:eastAsia="Times New Roman" w:hAnsi="Times New Roman" w:cs="Times New Roman"/>
          <w:sz w:val="20"/>
          <w:szCs w:val="20"/>
        </w:rPr>
        <w:t>бретается на каждого ученика в целях отработки самостоятельных исследовательских навыков.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Для отражения количественных показателей в рекомендациях используются следующая система условных обозначений: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Д – демонстрационные пособия, приобретаются в одном экземпляре.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Р – раздаточное оборудование, приобретается – 1 экземпляр на 2-х учащихся в основной и старшей школе при базовом изучении предмета и 1 экземпляр на каждого ученика в профильных классах.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Наборы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химических реактивов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приобретаются из расчета 1 набор для демонстрационных опытов и ученического эксперимента. Они имеют обозначе6ния Д/Р.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Некоторые пособия используются учащимся поочередно. Они обозначены буквой П.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Количество учебного оборудования (Д – </w:t>
      </w:r>
      <w:r>
        <w:rPr>
          <w:rFonts w:ascii="Times New Roman" w:eastAsia="Times New Roman" w:hAnsi="Times New Roman" w:cs="Times New Roman"/>
          <w:sz w:val="20"/>
          <w:szCs w:val="20"/>
        </w:rPr>
        <w:t>1 экз; Р – от 12 – 15 до 24 – 30 экз) приводится в рекомендациях в расчете на один учебный кабинет.</w:t>
      </w:r>
    </w:p>
    <w:p w:rsidR="006F74FB" w:rsidRDefault="001455A2">
      <w:pPr>
        <w:pStyle w:val="normal"/>
        <w:spacing w:line="240" w:lineRule="auto"/>
        <w:ind w:firstLine="720"/>
        <w:jc w:val="center"/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Организация учебного кабинета </w:t>
      </w:r>
    </w:p>
    <w:p w:rsidR="006F74FB" w:rsidRDefault="001455A2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При организации кабинета химии должны быть решены следующие вопросы: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Выбор помещения и его рациональная планировка соответственно Санитарно-эпидениологическим правилам и нормам (СанПиН 2.4.2. № 178 – 02)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Комплектование кабинета химии средствами обучения в соответствии с настоящими рекомендациями;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Комплектование кабинета спе</w:t>
      </w:r>
      <w:r>
        <w:rPr>
          <w:rFonts w:ascii="Times New Roman" w:eastAsia="Times New Roman" w:hAnsi="Times New Roman" w:cs="Times New Roman"/>
          <w:sz w:val="20"/>
          <w:szCs w:val="20"/>
        </w:rPr>
        <w:t>циализированной мебелью для организации рабочих мест учителя и учащихся и рациональной системы хранения учебного оборудования;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Оснащение техническими средствами и создание условий для их эффективного использования;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Создание системы хранения и размещения уч</w:t>
      </w:r>
      <w:r>
        <w:rPr>
          <w:rFonts w:ascii="Times New Roman" w:eastAsia="Times New Roman" w:hAnsi="Times New Roman" w:cs="Times New Roman"/>
          <w:sz w:val="20"/>
          <w:szCs w:val="20"/>
        </w:rPr>
        <w:t>ебного оборудования;</w:t>
      </w:r>
    </w:p>
    <w:p w:rsidR="006F74FB" w:rsidRDefault="001455A2">
      <w:pPr>
        <w:pStyle w:val="normal"/>
        <w:numPr>
          <w:ilvl w:val="0"/>
          <w:numId w:val="4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Оформление функционально-значимого интерьера учебного кабинета.</w:t>
      </w:r>
    </w:p>
    <w:p w:rsidR="006F74FB" w:rsidRDefault="001455A2">
      <w:pPr>
        <w:pStyle w:val="normal"/>
        <w:spacing w:line="240" w:lineRule="auto"/>
        <w:ind w:left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1455A2">
      <w:pPr>
        <w:pStyle w:val="normal"/>
        <w:spacing w:line="240" w:lineRule="auto"/>
        <w:ind w:left="72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* Учащимся запрещено использовать реактивы в формах, выпускаемых промышленностью, за исключением тех реактивов, которые предусмотрены программами для проведени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я лабораторных опытов и практических занятий. Для работы учащиеся используют только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растворы </w:t>
      </w:r>
      <w:r>
        <w:rPr>
          <w:rFonts w:ascii="Times New Roman" w:eastAsia="Times New Roman" w:hAnsi="Times New Roman" w:cs="Times New Roman"/>
          <w:sz w:val="20"/>
          <w:szCs w:val="20"/>
        </w:rPr>
        <w:t>реактивов, концентрация которых не более 5%.</w:t>
      </w:r>
    </w:p>
    <w:p w:rsidR="006F74FB" w:rsidRDefault="006F74FB">
      <w:pPr>
        <w:pStyle w:val="normal"/>
        <w:spacing w:line="240" w:lineRule="auto"/>
        <w:ind w:firstLine="720"/>
        <w:jc w:val="both"/>
      </w:pPr>
    </w:p>
    <w:p w:rsidR="006F74FB" w:rsidRDefault="001455A2">
      <w:pPr>
        <w:pStyle w:val="normal"/>
      </w:pPr>
      <w:r>
        <w:br w:type="page"/>
      </w:r>
    </w:p>
    <w:p w:rsidR="006F74FB" w:rsidRDefault="006F74FB">
      <w:pPr>
        <w:pStyle w:val="normal"/>
        <w:widowControl w:val="0"/>
      </w:pPr>
    </w:p>
    <w:p w:rsidR="006F74FB" w:rsidRDefault="006F74FB">
      <w:pPr>
        <w:pStyle w:val="normal"/>
        <w:spacing w:line="240" w:lineRule="auto"/>
        <w:jc w:val="both"/>
      </w:pPr>
    </w:p>
    <w:tbl>
      <w:tblPr>
        <w:tblStyle w:val="a5"/>
        <w:tblW w:w="152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2"/>
        <w:gridCol w:w="5670"/>
        <w:gridCol w:w="1275"/>
        <w:gridCol w:w="1276"/>
        <w:gridCol w:w="1276"/>
        <w:gridCol w:w="5387"/>
      </w:tblGrid>
      <w:tr w:rsidR="006F74FB">
        <w:trPr>
          <w:trHeight w:val="920"/>
        </w:trPr>
        <w:tc>
          <w:tcPr>
            <w:tcW w:w="392" w:type="dxa"/>
            <w:vMerge w:val="restart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5670" w:type="dxa"/>
            <w:vMerge w:val="restart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3827" w:type="dxa"/>
            <w:gridSpan w:val="3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Необходимое количество</w:t>
            </w:r>
          </w:p>
        </w:tc>
        <w:tc>
          <w:tcPr>
            <w:tcW w:w="5387" w:type="dxa"/>
            <w:vMerge w:val="restart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Примечания</w:t>
            </w:r>
          </w:p>
        </w:tc>
      </w:tr>
      <w:tr w:rsidR="006F74FB">
        <w:tc>
          <w:tcPr>
            <w:tcW w:w="392" w:type="dxa"/>
            <w:vMerge/>
          </w:tcPr>
          <w:p w:rsidR="006F74FB" w:rsidRDefault="006F74FB">
            <w:pPr>
              <w:pStyle w:val="normal"/>
              <w:widowControl w:val="0"/>
            </w:pPr>
          </w:p>
        </w:tc>
        <w:tc>
          <w:tcPr>
            <w:tcW w:w="5670" w:type="dxa"/>
            <w:vMerge/>
          </w:tcPr>
          <w:p w:rsidR="006F74FB" w:rsidRDefault="006F74FB">
            <w:pPr>
              <w:pStyle w:val="normal"/>
              <w:spacing w:line="240" w:lineRule="auto"/>
              <w:jc w:val="both"/>
            </w:pPr>
          </w:p>
          <w:p w:rsidR="006F74FB" w:rsidRDefault="006F74FB">
            <w:pPr>
              <w:pStyle w:val="normal"/>
              <w:spacing w:line="240" w:lineRule="auto"/>
              <w:jc w:val="both"/>
            </w:pPr>
          </w:p>
        </w:tc>
        <w:tc>
          <w:tcPr>
            <w:tcW w:w="1275" w:type="dxa"/>
            <w:vMerge w:val="restart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Основная школа</w:t>
            </w:r>
          </w:p>
        </w:tc>
        <w:tc>
          <w:tcPr>
            <w:tcW w:w="2552" w:type="dxa"/>
            <w:gridSpan w:val="2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Старшая школа</w:t>
            </w:r>
          </w:p>
        </w:tc>
        <w:tc>
          <w:tcPr>
            <w:tcW w:w="5387" w:type="dxa"/>
            <w:vMerge/>
          </w:tcPr>
          <w:p w:rsidR="006F74FB" w:rsidRDefault="006F74FB">
            <w:pPr>
              <w:pStyle w:val="normal"/>
              <w:spacing w:line="240" w:lineRule="auto"/>
              <w:jc w:val="both"/>
            </w:pPr>
          </w:p>
        </w:tc>
      </w:tr>
      <w:tr w:rsidR="006F74FB">
        <w:tc>
          <w:tcPr>
            <w:tcW w:w="392" w:type="dxa"/>
            <w:vMerge/>
          </w:tcPr>
          <w:p w:rsidR="006F74FB" w:rsidRDefault="006F74FB">
            <w:pPr>
              <w:pStyle w:val="normal"/>
              <w:widowControl w:val="0"/>
            </w:pPr>
          </w:p>
        </w:tc>
        <w:tc>
          <w:tcPr>
            <w:tcW w:w="5670" w:type="dxa"/>
            <w:vMerge/>
          </w:tcPr>
          <w:p w:rsidR="006F74FB" w:rsidRDefault="006F74FB">
            <w:pPr>
              <w:pStyle w:val="normal"/>
              <w:widowControl w:val="0"/>
            </w:pPr>
          </w:p>
        </w:tc>
        <w:tc>
          <w:tcPr>
            <w:tcW w:w="1275" w:type="dxa"/>
            <w:vMerge/>
          </w:tcPr>
          <w:p w:rsidR="006F74FB" w:rsidRDefault="006F74FB">
            <w:pPr>
              <w:pStyle w:val="normal"/>
              <w:spacing w:line="240" w:lineRule="auto"/>
              <w:jc w:val="both"/>
            </w:pPr>
          </w:p>
          <w:p w:rsidR="006F74FB" w:rsidRDefault="006F74FB">
            <w:pPr>
              <w:pStyle w:val="normal"/>
              <w:spacing w:line="240" w:lineRule="auto"/>
              <w:jc w:val="both"/>
            </w:pPr>
          </w:p>
          <w:p w:rsidR="006F74FB" w:rsidRDefault="006F74FB">
            <w:pPr>
              <w:pStyle w:val="normal"/>
              <w:spacing w:line="240" w:lineRule="auto"/>
              <w:jc w:val="both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Базовый уровень (А)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Профиль (Б)</w:t>
            </w:r>
          </w:p>
        </w:tc>
        <w:tc>
          <w:tcPr>
            <w:tcW w:w="5387" w:type="dxa"/>
            <w:vMerge/>
          </w:tcPr>
          <w:p w:rsidR="006F74FB" w:rsidRDefault="006F74FB">
            <w:pPr>
              <w:pStyle w:val="normal"/>
              <w:spacing w:line="240" w:lineRule="auto"/>
              <w:jc w:val="both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Номенклатура:</w:t>
            </w:r>
          </w:p>
          <w:p w:rsidR="006F74FB" w:rsidRDefault="001455A2">
            <w:pPr>
              <w:pStyle w:val="normal"/>
              <w:numPr>
                <w:ilvl w:val="0"/>
                <w:numId w:val="1"/>
              </w:numPr>
              <w:spacing w:line="240" w:lineRule="auto"/>
              <w:ind w:left="318" w:hanging="3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Библиотечный фонд</w:t>
            </w: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(книгопечатная продукция)</w:t>
            </w: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Стандарт основного общего образования по химии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Стандарт среднего (полного) общего образования по химии (базовый уровень)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Стандарт (полного) общего образования по химии (профильный уровень)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Примерная программа основного общего образования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Примерная программа среднего (полного) общего образования по химии (базовый уровень)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Примерная программа среднего (полного) общего образования по химии (профильный уровень)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Авторские рабочие программы по разделам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Методические пособия для учителя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Учебники по химии (базовый уровень)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8 класса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9 класса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br/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Учебники по химии (баз. уровень)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10 класса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11 класса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Учебники по химии (профиль)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10 класса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Для 11 класса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Рабочие тетради для учащихся (8,9,10, 11 класса)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Сборники тестовых заданий для тематического и итогового контроля (8,9,10, 11 класса)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Сборник задач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Руководства для лабораторных опытов и практических занятий по химии (8,9,10, 11 кл)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Справочник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Энциклопедия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rPr>
          <w:trHeight w:val="2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Атлас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rPr>
          <w:trHeight w:val="5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6F74FB" w:rsidRDefault="006F74FB">
            <w:pPr>
              <w:pStyle w:val="normal"/>
              <w:spacing w:line="240" w:lineRule="auto"/>
              <w:ind w:firstLine="720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numPr>
                <w:ilvl w:val="0"/>
                <w:numId w:val="1"/>
              </w:numPr>
              <w:spacing w:line="240" w:lineRule="auto"/>
              <w:ind w:hanging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Печатные пособия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Комплект портретов ученых-химиков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Постоянная экспозиция</w:t>
            </w:r>
          </w:p>
        </w:tc>
      </w:tr>
      <w:tr w:rsidR="006F74FB">
        <w:trPr>
          <w:trHeight w:val="8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Серия справочных таблиц по химии («Периодическая система химических элементов Д.И. Менделеева», «Растворимость солей, кислот и оснований в воде», «Электрохимический ряд напряжений металлов», «Окраска индикаторов в различных средах</w:t>
            </w:r>
            <w:r>
              <w:rPr>
                <w:rFonts w:ascii="Times New Roman" w:eastAsia="Times New Roman" w:hAnsi="Times New Roman" w:cs="Times New Roman"/>
              </w:rPr>
              <w:t>»).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Постоянная экспозиция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Серия инструктивных таблиц по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Сменная экспозиция</w:t>
            </w:r>
          </w:p>
        </w:tc>
      </w:tr>
      <w:tr w:rsidR="006F74FB">
        <w:trPr>
          <w:trHeight w:val="26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Серия таблиц по неорганической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Сменная экспозиция</w:t>
            </w:r>
          </w:p>
        </w:tc>
      </w:tr>
      <w:tr w:rsidR="006F74FB">
        <w:trPr>
          <w:trHeight w:val="40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Серия таблиц по органической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Сменная экспозиция</w:t>
            </w:r>
          </w:p>
        </w:tc>
      </w:tr>
      <w:tr w:rsidR="006F74FB">
        <w:trPr>
          <w:trHeight w:val="8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Серия таблиц по химическим производствам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 должна содержать таблицы по производству основных продуктов химической промышленности: серной кислоты, аммиака, а также по производству чугуна, стали, алюминия. Сменная экспозиция</w:t>
            </w:r>
          </w:p>
        </w:tc>
      </w:tr>
      <w:tr w:rsidR="006F74FB">
        <w:trPr>
          <w:trHeight w:val="940"/>
        </w:trPr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III. Информационно-коммуникативные средства </w:t>
            </w: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Мультимедийные программы (обучающие, тренинговые, контролирующие) по всем разделам курса химии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учителя, учащихся и домашнего пользования</w:t>
            </w:r>
          </w:p>
        </w:tc>
      </w:tr>
      <w:tr w:rsidR="006F74FB">
        <w:trPr>
          <w:trHeight w:val="24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Электронные библиотеки по курсу химии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учителя, учащихся и домашнего пользования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Электронные базы данных по всем разделам курса химии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учителя, учащихся и домашнего пользования</w:t>
            </w:r>
          </w:p>
        </w:tc>
      </w:tr>
      <w:tr w:rsidR="006F74FB">
        <w:trPr>
          <w:trHeight w:val="1260"/>
        </w:trPr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Экранно-звуковые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пособия (могут быть в цифровом и компьютерном виде)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Комплект видеофильмов по неорганической химии (по всем разделам курса)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Комплект видеофильмов по органической химии (по всем разделам курса)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Комплект слайдов (диапозитивов) по неорганической химии (по всем разделам курса)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слайдов (диапозитивов по органической химии)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транспарантов по неорганической химии: строение атома, строение вещества, химическая связь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Используется метод наложения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транспарантов по органической химии: строение органических веществ, образование сигма и пи-связей.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Все серии транспарантов подлежат разработке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транспарантов по  химическим производствам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фолий (кодопленок) по основным разделам неорганической и органической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Технические средства обучения </w:t>
            </w: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Видеокамера на штативе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Видеомагнитофон (видеоплеер)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Графопроектор  (оверхедпроектор)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Компьютер мультимедийный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пакетом прикладных программ (текстовых таблиц, графических и презентационных); с возможностью подключения к Интернет; аудио и видео выходы, приводами для чтения и записи компакт-дисков. Оснащен акустической колонкой, магнит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офоном и наушниками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Диапроектор  (слайд-проектор)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Мультимедийный проектор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Должен входить в материально-техническое обеспечение образовательного учреждения при наличии финансовых возможностей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датчиков к компьютеру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Датчики для измерения физико-химических параметров: температуры, давления, электрической проводимости, рН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Телевизор (с диагональю экрана не менее 72см)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Эпипроектор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Экран проекционный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Размер не менее 1200 см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Автоматизированное рабочее место учителя АРМ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Приобретается при наличии финансовых возможностей образовательного учреждения. При наличии его в образовательном учреждении перечисленные выше технические средства не приобретаются</w:t>
            </w: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numPr>
                <w:ilvl w:val="0"/>
                <w:numId w:val="2"/>
              </w:numPr>
              <w:spacing w:line="240" w:lineRule="auto"/>
              <w:ind w:hanging="7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Учебно-практическое и учебно-лабораторное оборудование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Приборы, наборы посуды и лабораторных принадлежностей для химического эксперимента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Общего назначения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Аппарат (установка) для дистилляции воды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Весы (до 500кг)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Нагревательные приборы (электроплитка, спиртовка)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Доска для сушки посуды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Комплект электроснабжения кабинета химии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Демонстрационные </w:t>
            </w: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посуды и принадлежностей для демонстрационных опытов по химии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Должен содержать готовые узлы для монтажа приборов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деталей для монтажа установок, иллюстрирующих химические производства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Столик подъемный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Штатив для демонстрационных пробирок ПХ-21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Штатив металлический ШЛБ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Экран фоновый черно-белый (двусторонний)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Подлежит разработке</w:t>
            </w: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флаконов (250 – 300 мл для хранения растворов реактивов)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Специализированные приборы и аппараты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Аппарат (прибор) для получения газов 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Аппарат для проведения химических реакций АПХР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Горелка универсальная ГУ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Источник тока высокого напряжения (25 кВ)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опытов по химии с электрическим током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Комплект термометров (0 – 100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С; 0 – 360 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С)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Озонатор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демонстрации закона сохранения массы веществ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иллюстрации зависимости скорости химической реакции от условий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Прибор для окисления спирта над медным катализатором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определения состава воздуха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получения галоидоалканов и сложных эфиров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собирания и хранения газов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получения растворимых твердых веществ ПРВ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Термометр электронный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Эвдиометр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Установка для перегонки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Установка для фильтрования под вакуумом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 группу 3 – 5 человек</w:t>
            </w:r>
          </w:p>
        </w:tc>
      </w:tr>
      <w:tr w:rsidR="006F74FB"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Комплекты для лабораторных опытов и практических занятий по химии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Весы 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Набор посуды и принадлежностей для ученического эксперимента 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50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для экологического мониторинга окружающей среды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 набор на группу 3 – 5 человек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посуды и принадлежностей для курса «Основы химического анализа»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банок для хранения твердых реактивов (30 – 50 мл)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Из расчета 10 банок на 2-х или 1-го учащегося (профиль) 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склянок (флаконов) для хранения растворов реактивов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Из расчета 16 флаконов на 2- или 1-го учащегося (профиль)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приборок (ПХ-14, ПХ-16)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Из расчета 10 шт ПХ-14 и 2 шт ПХ-16 на 2-х или 1-го уч-ся (профиль)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Набор по электрохимии лабораторный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Подлежит разработке</w:t>
            </w:r>
          </w:p>
        </w:tc>
      </w:tr>
      <w:tr w:rsidR="006F74FB">
        <w:trPr>
          <w:trHeight w:val="24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по тонкослойной хроматографии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Подлежит разработке</w:t>
            </w:r>
          </w:p>
        </w:tc>
      </w:tr>
      <w:tr w:rsidR="006F74FB">
        <w:trPr>
          <w:trHeight w:val="54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  <w:p w:rsidR="006F74FB" w:rsidRDefault="001455A2">
            <w:pPr>
              <w:pStyle w:val="normal"/>
              <w:spacing w:line="240" w:lineRule="auto"/>
              <w:ind w:firstLine="72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Нагреватели приборы (электрические 42 В, спиртовки (50 мл)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Прибор для получения газов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Прибор для получения галоидоалканов и сложных эфиров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Штатив лабораторный химический ШЛХ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VII. Модели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кристаллических решеток: алмаза, графита,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диоксида углерода, железа, магния, меди, поваренной соли, йода, льда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Кристал-лические решетки иода и льда подлежат разработке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моделирования строения неорганических веществ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моделирования строения органических веществ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моделирования типов химических реакций (модели-аппликации)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работы с моделями используется магнитная доска</w:t>
            </w: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моделирования электронного строения атомов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Набор для моделирования строения атомов и молекул (в виде кольцегранников)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  <w:tr w:rsidR="006F74FB">
        <w:trPr>
          <w:trHeight w:val="320"/>
        </w:trPr>
        <w:tc>
          <w:tcPr>
            <w:tcW w:w="392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Модели-электронные стенды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Справочно-информационный стенд «Периодическая система химических элементов Д.И. Менделеева».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</w:pP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5387" w:type="dxa"/>
          </w:tcPr>
          <w:p w:rsidR="006F74FB" w:rsidRDefault="006F74FB">
            <w:pPr>
              <w:pStyle w:val="normal"/>
              <w:spacing w:line="240" w:lineRule="auto"/>
            </w:pPr>
          </w:p>
        </w:tc>
      </w:tr>
    </w:tbl>
    <w:p w:rsidR="006F74FB" w:rsidRDefault="006F74FB">
      <w:pPr>
        <w:pStyle w:val="normal"/>
        <w:spacing w:line="240" w:lineRule="auto"/>
        <w:jc w:val="both"/>
      </w:pPr>
    </w:p>
    <w:tbl>
      <w:tblPr>
        <w:tblStyle w:val="a6"/>
        <w:tblW w:w="135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5387"/>
        <w:gridCol w:w="1275"/>
        <w:gridCol w:w="1276"/>
        <w:gridCol w:w="1276"/>
        <w:gridCol w:w="3686"/>
      </w:tblGrid>
      <w:tr w:rsidR="006F74FB">
        <w:tc>
          <w:tcPr>
            <w:tcW w:w="6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VIII.Натуральные объекты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коллекции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Алюминий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Волокна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Каменный уголь и продукты его переработки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Каучук 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Подлежит разработке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Металлы и сплавы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Минералы и горные породы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химических элементов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Нефть и важнейшие продукты ее переработки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Пластмассы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Стекло и изделия из стекла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Топливо 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Чугун и сталь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Шкала твердости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Реактивы 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 ОС «Кислоты»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серная 4,800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соляная 2,500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учащихся только растворы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 ОС «Кислоты»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азотная 0,300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ортофосфорная 0,050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Для учащихся только растворы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3 ОС «Гидроксиды»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Аммиак 25%-ный 0,500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Бария гидроксид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гидроксид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гидроксид 0,500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гидроксид 0,500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both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both"/>
            </w:pP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Аммиак учащимся выдается 5%-ный раствор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4 ОС «Оксиды металлов»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Алюминия оксид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Бария оксид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Железа (III) оксид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оксид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Магния оксид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оксид (гранулы)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оксид (порошок)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Цинка оксид 0,100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5 ОС «Металлы»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Алюминий (гранулы)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Алюминий (порошок)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Железо восстановл. (порошок)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Магний (порошок)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Магний (лента)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Медь (гранулы, опилки)0,050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Цинк (гранулы) 0,500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Цинк (порошок)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Олово (гранулы) 0,500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Порошки металлов</w:t>
            </w:r>
            <w:r>
              <w:rPr>
                <w:rFonts w:ascii="Times New Roman" w:eastAsia="Times New Roman" w:hAnsi="Times New Roman" w:cs="Times New Roman"/>
              </w:rPr>
              <w:t xml:space="preserve"> учащимся использовать запрещено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6 ОС «Щелочные и щелочноземельные металлы»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Кальций 10 ампул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Литий 5 ампул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Натрий 20 ампул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7 ОС «Огнеопасные вещества»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Сера (порошок)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Фосфор красный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Фосфора (V) оксид 0,050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8 ОС «Галогены»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Бром 5 ампул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Йод 0,100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9 ОС «Галогениды»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Алюминия хлорид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Аммония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Бария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Железа (III)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йодид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хлорид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Лития хлорид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Магния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бромид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фторид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хлорид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Цинка хлорид 0,050 кг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10 ОС «Сульфаты. Сульфиты. Сульфиды»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Алюминия сульфат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Аммония сульфат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Железа (II) сульфид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Железа (II) сульфат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7-ми водный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сульфат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Кобольта (II) сульфат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Магния сульфат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сульфат безводный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сульфат 5-ти водный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сульфид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сульфит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сульфат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Натрия гидросульфат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Никеля сульфат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Натрия гидрокарбонат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0,100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Д/Р</w:t>
            </w: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11 ОС «Карбонаты»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Аммония карбонат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карбонат (поташ)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Меди (II) карбонат основной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карбонат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Натрия гидрокарбонат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0,100 кг</w:t>
            </w:r>
          </w:p>
          <w:p w:rsidR="006F74FB" w:rsidRDefault="006F74FB">
            <w:pPr>
              <w:pStyle w:val="normal"/>
              <w:spacing w:line="240" w:lineRule="auto"/>
            </w:pP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12 ОС «Фосфаты. Силикаты»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Калия моногидроортофосфат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(калий фосфорнокислый двухзамещенный)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силикат 9-ти водный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ортофосфат  трехзамещенный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дигидрофосфат (натрий фосфорнокислый однозамещенный)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13 ОС «Ац</w:t>
            </w:r>
            <w:r>
              <w:rPr>
                <w:rFonts w:ascii="Times New Roman" w:eastAsia="Times New Roman" w:hAnsi="Times New Roman" w:cs="Times New Roman"/>
              </w:rPr>
              <w:t>етаты. Роданиды. Соединения железа».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ацетат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ферро(II) гексацианид (калий железистосинеродистый)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ферро (III) гексационид (калий железосинеродистый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роданид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Натрия ацетат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Свинца ацетат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Набор № 14 ОС «Соединения марганца»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Калия перманганат 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(калий марганцевокислый) 0,500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Марганца (IV) оксид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Марганца (II) сульфат0,050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марганца хлорид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15 ОС «Соединения хрома»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Аммония дихромат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дихромат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хромат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Хрома (III) хлорид 6-ти водный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16 ОС «Нитраты»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Алюминия нитрат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Аммония нитрат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Калия нитрат 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нитрат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Меди (II) нитрат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Натрия нитрат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Серебра нитрат 0, 020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17 ОС «Индикаторы»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Лакмоид 0,020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Метиловый оранжевый 0,020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Фенолфталеин 0,020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18 ОС «Минеральные удобрения»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Аммофос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Карбамид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Натриевая селитра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Кальциевая селитра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Калийная селитра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Сульфат аммония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Суперфосфат гранулированный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Суперфосфат двойной гранулированный 0,250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Фосфоритная мука 0,250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Д/Р 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19 ОС «Углеводороды»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Бензин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Бензол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Гексан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Нефть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Толуол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Циклогексан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20 ОС «Кислородсодержащие органические вещества»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Ацетон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Глицерин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Диэтиловый эфир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Спирт н-бутиловый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Спирт изоамиловый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Спирт изобутиловый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Спирт этиловый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Фенол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Формалин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Этиленгликоль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Уксусно-этиловый эфир 0,100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21 ОС «Кислоты органические»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аминоуксусная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бензойная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масляная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муравьиная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олеиновая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пальмитиновая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стеариновая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уксусная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Кислота щавелевая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Д/Р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22 ОС «Углеводы. Амины»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Анилин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Анилин сернокислый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Д-глюкоза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Метиламин гидрохлорид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Сахароза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23 ОС «Образцы органических веществ»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Гексахлорбензол техн.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Метилен хлористый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Углерод четыреххлористый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Хлороформ 0,050 кг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Набор № 24 ОС «Материалы»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Активированный уголь 0,100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Вазелин 0,050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карбид 0,200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Кальция карбонат (мрамор) 0,500 кг</w:t>
            </w: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Парафин 0,200 кг.</w:t>
            </w:r>
          </w:p>
        </w:tc>
        <w:tc>
          <w:tcPr>
            <w:tcW w:w="12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1276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6F74FB">
            <w:pPr>
              <w:pStyle w:val="normal"/>
              <w:spacing w:line="240" w:lineRule="auto"/>
              <w:jc w:val="center"/>
            </w:pPr>
          </w:p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IX. Специализированная мебель</w:t>
            </w:r>
          </w:p>
          <w:p w:rsidR="006F74FB" w:rsidRDefault="006F74FB">
            <w:pPr>
              <w:pStyle w:val="normal"/>
              <w:spacing w:line="240" w:lineRule="auto"/>
            </w:pPr>
          </w:p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Доска аудиторская с магнитной поверхностью и с приспособлениями для крепления таблиц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Стол демонстрационный химический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Стол письменный для учителя (в лаборантской)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Стол препараторский (в лаборантской)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Стул для учителя – 2 шт (в кабинете и лаборантской) 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Столы двухместные лабораторные ученические в комплекте со стульями разных ростовых размеров)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Стол компьютерный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При наличии АРМ не приобретается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Подставка для технических средств обучения (ТСО)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При наличии АРМ не приобретается</w:t>
            </w: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Шкафы секционные для хранения оборудования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Раковина-мойка – 2 шт (в кабинете и лаборантской)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Доска для сушки посуды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Шкаф вытяжной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  <w:tr w:rsidR="006F74FB">
        <w:tc>
          <w:tcPr>
            <w:tcW w:w="675" w:type="dxa"/>
          </w:tcPr>
          <w:p w:rsidR="006F74FB" w:rsidRDefault="001455A2">
            <w:pPr>
              <w:pStyle w:val="normal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387" w:type="dxa"/>
          </w:tcPr>
          <w:p w:rsidR="006F74FB" w:rsidRDefault="001455A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Стенды экспозиционные</w:t>
            </w:r>
          </w:p>
        </w:tc>
        <w:tc>
          <w:tcPr>
            <w:tcW w:w="1275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127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  <w:tc>
          <w:tcPr>
            <w:tcW w:w="3686" w:type="dxa"/>
          </w:tcPr>
          <w:p w:rsidR="006F74FB" w:rsidRDefault="006F74FB">
            <w:pPr>
              <w:pStyle w:val="normal"/>
              <w:spacing w:line="240" w:lineRule="auto"/>
              <w:jc w:val="center"/>
            </w:pPr>
          </w:p>
        </w:tc>
      </w:tr>
    </w:tbl>
    <w:p w:rsidR="006F74FB" w:rsidRDefault="006F74FB">
      <w:pPr>
        <w:pStyle w:val="normal"/>
        <w:spacing w:line="240" w:lineRule="auto"/>
        <w:jc w:val="both"/>
      </w:pPr>
    </w:p>
    <w:p w:rsidR="006F74FB" w:rsidRDefault="006F74FB">
      <w:pPr>
        <w:pStyle w:val="normal"/>
        <w:spacing w:line="240" w:lineRule="auto"/>
        <w:ind w:left="720"/>
        <w:jc w:val="both"/>
      </w:pPr>
    </w:p>
    <w:p w:rsidR="006F74FB" w:rsidRDefault="006F74FB">
      <w:pPr>
        <w:pStyle w:val="normal"/>
        <w:spacing w:line="240" w:lineRule="auto"/>
        <w:ind w:left="1418" w:right="1418" w:firstLine="720"/>
        <w:jc w:val="center"/>
      </w:pPr>
    </w:p>
    <w:p w:rsidR="006F74FB" w:rsidRDefault="006F74FB">
      <w:pPr>
        <w:pStyle w:val="normal"/>
        <w:spacing w:line="240" w:lineRule="auto"/>
        <w:ind w:right="1418"/>
      </w:pPr>
    </w:p>
    <w:sectPr w:rsidR="006F74FB" w:rsidSect="006F74FB">
      <w:footerReference w:type="default" r:id="rId7"/>
      <w:pgSz w:w="16838" w:h="11906"/>
      <w:pgMar w:top="567" w:right="992" w:bottom="426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5A2" w:rsidRDefault="001455A2" w:rsidP="006F74FB">
      <w:pPr>
        <w:spacing w:line="240" w:lineRule="auto"/>
      </w:pPr>
      <w:r>
        <w:separator/>
      </w:r>
    </w:p>
  </w:endnote>
  <w:endnote w:type="continuationSeparator" w:id="0">
    <w:p w:rsidR="001455A2" w:rsidRDefault="001455A2" w:rsidP="006F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4FB" w:rsidRDefault="006F74FB">
    <w:pPr>
      <w:pStyle w:val="normal"/>
      <w:tabs>
        <w:tab w:val="center" w:pos="4153"/>
        <w:tab w:val="right" w:pos="8306"/>
      </w:tabs>
      <w:spacing w:line="240" w:lineRule="auto"/>
      <w:jc w:val="right"/>
    </w:pPr>
    <w:fldSimple w:instr="PAGE">
      <w:r w:rsidR="00980022">
        <w:rPr>
          <w:noProof/>
        </w:rPr>
        <w:t>15</w:t>
      </w:r>
    </w:fldSimple>
  </w:p>
  <w:p w:rsidR="006F74FB" w:rsidRDefault="006F74FB">
    <w:pPr>
      <w:pStyle w:val="normal"/>
      <w:tabs>
        <w:tab w:val="center" w:pos="4153"/>
        <w:tab w:val="right" w:pos="8306"/>
      </w:tabs>
      <w:spacing w:after="720" w:line="240" w:lineRule="auto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5A2" w:rsidRDefault="001455A2" w:rsidP="006F74FB">
      <w:pPr>
        <w:spacing w:line="240" w:lineRule="auto"/>
      </w:pPr>
      <w:r>
        <w:separator/>
      </w:r>
    </w:p>
  </w:footnote>
  <w:footnote w:type="continuationSeparator" w:id="0">
    <w:p w:rsidR="001455A2" w:rsidRDefault="001455A2" w:rsidP="006F74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D11FA"/>
    <w:multiLevelType w:val="multilevel"/>
    <w:tmpl w:val="A6BADF62"/>
    <w:lvl w:ilvl="0">
      <w:start w:val="4"/>
      <w:numFmt w:val="upperRoman"/>
      <w:lvlText w:val="%1."/>
      <w:lvlJc w:val="left"/>
      <w:pPr>
        <w:ind w:left="72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249F267F"/>
    <w:multiLevelType w:val="multilevel"/>
    <w:tmpl w:val="12FA7478"/>
    <w:lvl w:ilvl="0">
      <w:numFmt w:val="bullet"/>
      <w:lvlText w:val="-"/>
      <w:lvlJc w:val="left"/>
      <w:pPr>
        <w:ind w:left="126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52D122F"/>
    <w:multiLevelType w:val="multilevel"/>
    <w:tmpl w:val="729E823A"/>
    <w:lvl w:ilvl="0">
      <w:start w:val="1"/>
      <w:numFmt w:val="decimal"/>
      <w:lvlText w:val="%1."/>
      <w:lvlJc w:val="left"/>
      <w:pPr>
        <w:ind w:left="1080" w:firstLine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5937690D"/>
    <w:multiLevelType w:val="multilevel"/>
    <w:tmpl w:val="24E84472"/>
    <w:lvl w:ilvl="0">
      <w:start w:val="1"/>
      <w:numFmt w:val="upperRoman"/>
      <w:lvlText w:val="%1."/>
      <w:lvlJc w:val="left"/>
      <w:pPr>
        <w:ind w:left="72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4FB"/>
    <w:rsid w:val="001455A2"/>
    <w:rsid w:val="006F74FB"/>
    <w:rsid w:val="0098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F74F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F74F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F74F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F74F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F74FB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rsid w:val="006F74F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F74FB"/>
  </w:style>
  <w:style w:type="table" w:customStyle="1" w:styleId="TableNormal">
    <w:name w:val="Table Normal"/>
    <w:rsid w:val="006F74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F74F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normal"/>
    <w:next w:val="normal"/>
    <w:rsid w:val="006F74F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F74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F74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3532</Words>
  <Characters>20138</Characters>
  <Application>Microsoft Office Word</Application>
  <DocSecurity>0</DocSecurity>
  <Lines>167</Lines>
  <Paragraphs>47</Paragraphs>
  <ScaleCrop>false</ScaleCrop>
  <Company/>
  <LinksUpToDate>false</LinksUpToDate>
  <CharactersWithSpaces>23623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3</cp:revision>
  <dcterms:created xsi:type="dcterms:W3CDTF">2016-09-15T04:55:00Z</dcterms:created>
  <dcterms:modified xsi:type="dcterms:W3CDTF">2016-09-15T04:55:00Z</dcterms:modified>
</cp:coreProperties>
</file>